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 xml:space="preserve">Условия участия для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VIP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 xml:space="preserve"> гостей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>В пакеты услуг входят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Транспортные услуги из аэропорта города Уфы до отеля </w:t>
      </w:r>
      <w:r>
        <w:rPr>
          <w:rFonts w:ascii="Times New Roman" w:hAnsi="Times New Roman"/>
          <w:sz w:val="26"/>
          <w:szCs w:val="26"/>
          <w:rtl w:val="0"/>
          <w:lang w:val="en-US"/>
        </w:rPr>
        <w:t>Holiday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Inn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U</w:t>
      </w:r>
      <w:r>
        <w:rPr>
          <w:rFonts w:ascii="Times New Roman" w:hAnsi="Times New Roman"/>
          <w:sz w:val="26"/>
          <w:szCs w:val="26"/>
          <w:rtl w:val="0"/>
          <w:lang w:val="en-US"/>
        </w:rPr>
        <w:t>fa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          09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июля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года и из отеля </w:t>
      </w:r>
      <w:r>
        <w:rPr>
          <w:rFonts w:ascii="Times New Roman" w:hAnsi="Times New Roman"/>
          <w:sz w:val="26"/>
          <w:szCs w:val="26"/>
          <w:rtl w:val="0"/>
          <w:lang w:val="en-US"/>
        </w:rPr>
        <w:t>Holiday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Inn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Ufa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до аэропорта города Уфы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июля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Размещение в отеле </w:t>
      </w:r>
      <w:r>
        <w:rPr>
          <w:rFonts w:ascii="Times New Roman" w:hAnsi="Times New Roman"/>
          <w:sz w:val="26"/>
          <w:szCs w:val="26"/>
          <w:rtl w:val="0"/>
          <w:lang w:val="en-US"/>
        </w:rPr>
        <w:t>Holiday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Inn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Ufa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согласно выбранному пакету с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июля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года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(5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ночей</w:t>
      </w:r>
      <w:r>
        <w:rPr>
          <w:rFonts w:ascii="Times New Roman" w:hAnsi="Times New Roman"/>
          <w:sz w:val="26"/>
          <w:szCs w:val="26"/>
          <w:rtl w:val="0"/>
          <w:lang w:val="ru-RU"/>
        </w:rPr>
        <w:t>)*;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Услуги по организации питания с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июля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года по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июля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года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завтраки и ужины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отеле </w:t>
      </w:r>
      <w:r>
        <w:rPr>
          <w:rFonts w:ascii="Times New Roman" w:hAnsi="Times New Roman"/>
          <w:sz w:val="26"/>
          <w:szCs w:val="26"/>
          <w:rtl w:val="0"/>
          <w:lang w:val="en-US"/>
        </w:rPr>
        <w:t>Holiday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Inn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Ufa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обеды – в отеле </w:t>
      </w:r>
      <w:r>
        <w:rPr>
          <w:rFonts w:ascii="Times New Roman" w:hAnsi="Times New Roman"/>
          <w:sz w:val="26"/>
          <w:szCs w:val="26"/>
          <w:rtl w:val="0"/>
          <w:lang w:val="en-US"/>
        </w:rPr>
        <w:t>Holiday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Inn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Ufa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или на спортивном объекте согласно программе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июля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года – ужин в отеле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- 14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июля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года – завтрак в отеле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Транспортные услуги с отеля </w:t>
      </w:r>
      <w:r>
        <w:rPr>
          <w:rFonts w:ascii="Times New Roman" w:hAnsi="Times New Roman"/>
          <w:sz w:val="26"/>
          <w:szCs w:val="26"/>
          <w:rtl w:val="0"/>
          <w:lang w:val="en-US"/>
        </w:rPr>
        <w:t>Holiday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Inn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Ufa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до спортивных объектов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согласно расписания движения шаттлов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Приглашения на официальные церемонии открытия и закрытия Игр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/>
          <w:sz w:val="26"/>
          <w:szCs w:val="26"/>
          <w:rtl w:val="0"/>
          <w:lang w:val="en-US"/>
        </w:rPr>
        <w:t>VIP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места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); 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Доступ на все спортивные и официальные мероприятия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Доступ на приём от имени главы Администрации ГО 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Уфа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 xml:space="preserve">Стоимость пакетов для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VIP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>гостей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ru-RU"/>
        </w:rPr>
        <w:t>* *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15"/>
        <w:gridCol w:w="3401"/>
        <w:gridCol w:w="2829"/>
      </w:tblGrid>
      <w:tr>
        <w:tblPrEx>
          <w:shd w:val="clear" w:color="auto" w:fill="d0ddef"/>
        </w:tblPrEx>
        <w:trPr>
          <w:trHeight w:val="319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 xml:space="preserve">VIP - 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val="single"/>
                <w:rtl w:val="0"/>
                <w:lang w:val="ru-RU"/>
              </w:rPr>
              <w:t xml:space="preserve">пакет А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 xml:space="preserve">VIP - 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val="single"/>
                <w:rtl w:val="0"/>
                <w:lang w:val="ru-RU"/>
              </w:rPr>
              <w:t>пакет В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VIP</w:t>
            </w:r>
            <w:r>
              <w:rPr>
                <w:rFonts w:ascii="Times New Roman" w:hAnsi="Times New Roman" w:hint="default"/>
                <w:b w:val="1"/>
                <w:bCs w:val="1"/>
                <w:sz w:val="26"/>
                <w:szCs w:val="26"/>
                <w:u w:val="single"/>
                <w:rtl w:val="0"/>
                <w:lang w:val="ru-RU"/>
              </w:rPr>
              <w:t xml:space="preserve"> – пакет С</w:t>
            </w:r>
          </w:p>
        </w:tc>
      </w:tr>
      <w:tr>
        <w:tblPrEx>
          <w:shd w:val="clear" w:color="auto" w:fill="d0ddef"/>
        </w:tblPrEx>
        <w:trPr>
          <w:trHeight w:val="1279" w:hRule="atLeast"/>
        </w:trPr>
        <w:tc>
          <w:tcPr>
            <w:tcW w:type="dxa" w:w="3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rtl w:val="0"/>
                <w:lang w:val="ru-RU"/>
              </w:rPr>
              <w:t xml:space="preserve">700 </w:t>
            </w:r>
            <w:r>
              <w:rPr>
                <w:rFonts w:ascii="Times New Roman" w:hAnsi="Times New Roman"/>
                <w:sz w:val="26"/>
                <w:szCs w:val="26"/>
                <w:u w:val="single"/>
                <w:rtl w:val="0"/>
                <w:lang w:val="en-US"/>
              </w:rPr>
              <w:t xml:space="preserve">$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Размещение одноместный стандарт</w:t>
            </w:r>
            <w:r>
              <w:rPr>
                <w:rFonts w:ascii="Times New Roman" w:cs="Times New Roman" w:hAnsi="Times New Roman" w:eastAsia="Times New Roman"/>
                <w:sz w:val="26"/>
                <w:szCs w:val="26"/>
              </w:rPr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rtl w:val="0"/>
                <w:lang w:val="ru-RU"/>
              </w:rPr>
              <w:t xml:space="preserve">900 </w:t>
            </w:r>
            <w:r>
              <w:rPr>
                <w:rFonts w:ascii="Times New Roman" w:hAnsi="Times New Roman"/>
                <w:sz w:val="26"/>
                <w:szCs w:val="26"/>
                <w:u w:val="single"/>
                <w:rtl w:val="0"/>
                <w:lang w:val="en-US"/>
              </w:rPr>
              <w:t>$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Размещение двухместный стандарт</w:t>
            </w:r>
            <w:r>
              <w:rPr>
                <w:rFonts w:ascii="Times New Roman" w:cs="Times New Roman" w:hAnsi="Times New Roman" w:eastAsia="Times New Roman"/>
                <w:sz w:val="26"/>
                <w:szCs w:val="26"/>
              </w:rPr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rtl w:val="0"/>
                <w:lang w:val="ru-RU"/>
              </w:rPr>
              <w:t xml:space="preserve">300 $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u w:val="none"/>
                <w:rtl w:val="0"/>
                <w:lang w:val="ru-RU"/>
              </w:rPr>
              <w:t xml:space="preserve">Совместное размещение </w:t>
            </w:r>
          </w:p>
        </w:tc>
      </w:tr>
    </w:tbl>
    <w:p>
      <w:pPr>
        <w:pStyle w:val="Normal.0"/>
        <w:widowControl w:val="0"/>
        <w:spacing w:after="12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>Как приобрести</w:t>
      </w:r>
    </w:p>
    <w:p>
      <w:pPr>
        <w:pStyle w:val="List Paragraph"/>
        <w:spacing w:after="120" w:line="24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Гостевые пакеты можно будет приобрести с помощью кредитной карты или перечислением на расчетный счет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spacing w:after="120" w:line="24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numPr>
          <w:ilvl w:val="0"/>
          <w:numId w:val="4"/>
        </w:numPr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случае прибытия гостей до официальной даты заезда и выезда с отеля </w:t>
      </w:r>
      <w:r>
        <w:rPr>
          <w:rFonts w:ascii="Times New Roman" w:hAnsi="Times New Roman"/>
          <w:sz w:val="26"/>
          <w:szCs w:val="26"/>
          <w:rtl w:val="0"/>
          <w:lang w:val="en-US"/>
        </w:rPr>
        <w:t>Holiday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Inn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Ufa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стоимость услуг проживания и питания оплачивается самостоятельно гостем в отеле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** </w:t>
      </w:r>
      <w:r>
        <w:rPr>
          <w:rFonts w:ascii="Times New Roman" w:hAnsi="Times New Roman"/>
          <w:sz w:val="26"/>
          <w:szCs w:val="26"/>
          <w:rtl w:val="0"/>
          <w:lang w:val="en-US"/>
        </w:rPr>
        <w:t>VIP-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гости подразделяются по категориям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представители города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spacing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чле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ны исполнительного комитета МДИ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spacing w:line="288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члены технической комиссии МДИ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spacing w:line="96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spacing w:line="96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spacing w:after="120" w:line="240" w:lineRule="auto"/>
        <w:ind w:left="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Вся необходимая информация будет размещена на регистрационном портале и будет доступна с момента начала онлайн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регистрации с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февраля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года по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апреля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spacing w:after="120" w:line="24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spacing w:after="120" w:line="24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spacing w:after="120" w:line="24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spacing w:after="120" w:line="24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spacing w:after="120" w:line="240" w:lineRule="auto"/>
        <w:ind w:left="0" w:firstLine="0"/>
        <w:jc w:val="both"/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709" w:right="850" w:bottom="1134" w:left="1701" w:header="708" w:footer="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ist Paragraph"/>
      <w:ind w:left="0" w:firstLine="0"/>
      <w:jc w:val="both"/>
    </w:pPr>
    <w:r>
      <w:rPr>
        <w:rFonts w:ascii="Times New Roman" w:hAnsi="Times New Roman"/>
        <w:sz w:val="26"/>
        <w:szCs w:val="26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sz w:val="26"/>
        <w:szCs w:val="2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ы"/>
  </w:abstractNum>
  <w:abstractNum w:abstractNumId="3">
    <w:multiLevelType w:val="hybridMultilevel"/>
    <w:styleLink w:val="Пункты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89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49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09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69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29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89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49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09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69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Пункты">
    <w:name w:val="Пункты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